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9C5" w:rsidRPr="0032103F" w:rsidRDefault="0032103F" w:rsidP="0032103F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</w:pPr>
      <w:proofErr w:type="gram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Ведётся отбор на военную службу по контракту в комплектуемые воинские части:</w:t>
      </w:r>
      <w:r w:rsidRPr="0032103F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32103F">
        <w:rPr>
          <w:noProof/>
          <w:sz w:val="28"/>
          <w:lang w:eastAsia="ru-RU"/>
        </w:rPr>
        <w:drawing>
          <wp:inline distT="0" distB="0" distL="0" distR="0" wp14:anchorId="4E47866A" wp14:editId="28FC76C9">
            <wp:extent cx="152400" cy="152400"/>
            <wp:effectExtent l="0" t="0" r="0" b="0"/>
            <wp:docPr id="30" name="Рисунок 30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 г.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Вилючинск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, г. Петропавловск-Камчатский, Камчатского края;</w:t>
      </w:r>
      <w:r w:rsidRPr="0032103F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32103F">
        <w:rPr>
          <w:noProof/>
          <w:sz w:val="28"/>
          <w:lang w:eastAsia="ru-RU"/>
        </w:rPr>
        <w:drawing>
          <wp:inline distT="0" distB="0" distL="0" distR="0" wp14:anchorId="6F3A71A1" wp14:editId="30260EAC">
            <wp:extent cx="152400" cy="152400"/>
            <wp:effectExtent l="0" t="0" r="0" b="0"/>
            <wp:docPr id="29" name="Рисунок 29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 г. Владивосток, г. Уссурийск, с. Сергеевка, с.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Чернышевка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, Приморского края;</w:t>
      </w:r>
      <w:r w:rsidRPr="0032103F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32103F">
        <w:rPr>
          <w:noProof/>
          <w:sz w:val="28"/>
          <w:lang w:eastAsia="ru-RU"/>
        </w:rPr>
        <w:drawing>
          <wp:inline distT="0" distB="0" distL="0" distR="0" wp14:anchorId="6AD0E1F8" wp14:editId="6A79D17D">
            <wp:extent cx="152400" cy="152400"/>
            <wp:effectExtent l="0" t="0" r="0" b="0"/>
            <wp:docPr id="28" name="Рисунок 28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Южно-Сахалинск, о. Кунашир, о. Итуруп, Сахалинской области;</w:t>
      </w:r>
      <w:r w:rsidRPr="0032103F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32103F">
        <w:rPr>
          <w:noProof/>
          <w:sz w:val="28"/>
          <w:lang w:eastAsia="ru-RU"/>
        </w:rPr>
        <w:drawing>
          <wp:inline distT="0" distB="0" distL="0" distR="0" wp14:anchorId="2B7CD897" wp14:editId="6F8DF1B8">
            <wp:extent cx="152400" cy="152400"/>
            <wp:effectExtent l="0" t="0" r="0" b="0"/>
            <wp:docPr id="27" name="Рисунок 27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п. Екатеринославка, Амурской области;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5F174636" wp14:editId="1AED70FE">
            <wp:extent cx="152400" cy="152400"/>
            <wp:effectExtent l="0" t="0" r="0" b="0"/>
            <wp:docPr id="26" name="Рисунок 26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Бикин, п. Князе-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Волконское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, Хабаровского края;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7C93D054" wp14:editId="4DAC2C90">
            <wp:extent cx="152400" cy="152400"/>
            <wp:effectExtent l="0" t="0" r="0" b="0"/>
            <wp:docPr id="25" name="Рисунок 25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Биробиджан, Еврейской автономной области;</w:t>
      </w:r>
      <w:proofErr w:type="gram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51F896E6" wp14:editId="48C1E1FA">
            <wp:extent cx="152400" cy="152400"/>
            <wp:effectExtent l="0" t="0" r="0" b="0"/>
            <wp:docPr id="24" name="Рисунок 24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Улан-Удэ, г. Кяхта, Республики Бурятия;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0A29E2DD" wp14:editId="03F0E6AB">
            <wp:extent cx="152400" cy="152400"/>
            <wp:effectExtent l="0" t="0" r="0" b="0"/>
            <wp:docPr id="23" name="Рисунок 23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Чита, с. Домна, п. Горный, г. Борзя, п. Атамановка, Забайкальского края;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785E09F" wp14:editId="260708CF">
            <wp:extent cx="152400" cy="152400"/>
            <wp:effectExtent l="0" t="0" r="0" b="0"/>
            <wp:docPr id="22" name="Рисунок 22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Кострома, Костромской области;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1CAC2B5" wp14:editId="4A9C67C1">
            <wp:extent cx="152400" cy="152400"/>
            <wp:effectExtent l="0" t="0" r="0" b="0"/>
            <wp:docPr id="21" name="Рисунок 21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 п. Инженерный-1, дер.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Макарово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, Московской области;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62B8BD9B" wp14:editId="644EC95C">
            <wp:extent cx="152400" cy="152400"/>
            <wp:effectExtent l="0" t="0" r="0" b="0"/>
            <wp:docPr id="20" name="Рисунок 20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Грозный, н/</w:t>
      </w:r>
      <w:proofErr w:type="gram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п</w:t>
      </w:r>
      <w:proofErr w:type="gram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 Шали, н/п Калиновская, н/п Борзой, Чеченской Республики;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1765AE65" wp14:editId="32E025DE">
            <wp:extent cx="152400" cy="152400"/>
            <wp:effectExtent l="0" t="0" r="0" b="0"/>
            <wp:docPr id="19" name="Рисунок 19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г. Санкт-Петербург, г. Кронштадт, Ленинградской области;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54BF85FD" wp14:editId="52841A5E">
            <wp:extent cx="152400" cy="152400"/>
            <wp:effectExtent l="0" t="0" r="0" b="0"/>
            <wp:docPr id="18" name="Рисунок 18" descr="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пгт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. Печенга, Мурманской области;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>СОЦИАЛЬНЫЕ ГАРАНТИИ ВОЕННОСЛУЖАЩИХ ПО КОНТРАКТУ: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493228F" wp14:editId="0BA19820">
            <wp:extent cx="152400" cy="152400"/>
            <wp:effectExtent l="0" t="0" r="0" b="0"/>
            <wp:docPr id="17" name="Рисунок 1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Стабильное денежное довольствие в среднем от 20 до 70 тыс. рублей.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>Дополнительные выплаты к денежному довольствию: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7EC4CA63" wp14:editId="5E952403">
            <wp:extent cx="152400" cy="152400"/>
            <wp:effectExtent l="0" t="0" r="0" b="0"/>
            <wp:docPr id="16" name="Рисунок 16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Материальная помощь - выплачивается один раз в год в размере одного месячного оклада денежного содержание (ОВД+ОВЗ);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77C679AD" wp14:editId="1436C8F4">
            <wp:extent cx="152400" cy="152400"/>
            <wp:effectExtent l="0" t="0" r="0" b="0"/>
            <wp:docPr id="15" name="Рисунок 15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Единовременная денежная премия за государственные награды - Правительством Российской Федерации в размере от одного до пяти месячных окладов денежного содержания и Президентом Российской Федерации в размере двух месячных окладов денежного содержания (ОВД+ОВЗ);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7B3D9EE" wp14:editId="09BC41B4">
            <wp:extent cx="152400" cy="152400"/>
            <wp:effectExtent l="0" t="0" r="0" b="0"/>
            <wp:docPr id="14" name="Рисунок 14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</w:t>
      </w:r>
      <w:proofErr w:type="gram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Подъемное пособие - выплачивается при переводе военнослужащего к новому месту службы в другой военный гарнизон в размере одного месячного оклада денежного содержания (ОВД+ОВЗ) и 0,25% от месячного оклада денежного содержания на каждого члена семьи;</w:t>
      </w:r>
      <w:proofErr w:type="gram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B3E3067" wp14:editId="5BD3B9A1">
            <wp:extent cx="152400" cy="152400"/>
            <wp:effectExtent l="0" t="0" r="0" b="0"/>
            <wp:docPr id="13" name="Рисунок 13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За выполнение задач, участие в учениях, отработку задач боевой подготовки в полевых условиях, непосредственно связанных с риском для жизни и здоровья военнослужащего в мирное время в размере 2% от оклада по воинской должности (ОВД), но не более 60% в месяц.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63EEFAE7" wp14:editId="621C506D">
            <wp:extent cx="152400" cy="152400"/>
            <wp:effectExtent l="0" t="0" r="0" b="0"/>
            <wp:docPr id="12" name="Рисунок 1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Жилищное обеспечение: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62C81E95" wp14:editId="324A33AA">
            <wp:extent cx="152400" cy="152400"/>
            <wp:effectExtent l="0" t="0" r="0" b="0"/>
            <wp:docPr id="11" name="Рисунок 11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обеспечение служебными жилыми помещениями или общежитиями на период военной службы (получение денежной компенсации за наем (поднаем) жилых помещений);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9B9E537" wp14:editId="2B9B4154">
            <wp:extent cx="152400" cy="152400"/>
            <wp:effectExtent l="0" t="0" r="0" b="0"/>
            <wp:docPr id="10" name="Рисунок 10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обеспечение жилыми помещениями для постоянного проживания по избранному месту жительства (в том числе путем выдачи государственных субсидий) при достижении общей продолжительности военной службы 20 лет, а также в случае увольнения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 и общей продолжительности военной службы 10 лет и более;</w:t>
      </w:r>
      <w:proofErr w:type="gram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14606381" wp14:editId="50D5FF1D">
            <wp:extent cx="152400" cy="152400"/>
            <wp:effectExtent l="0" t="0" r="0" b="0"/>
            <wp:docPr id="9" name="Рисунок 9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 возможность приобретения жилья через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накопительно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-ипотечную систему жилищного обеспечения (НИС);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 xml:space="preserve">Стать участником НИС можно при заключении второго контракта. Каждый участник НИС 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lastRenderedPageBreak/>
        <w:t xml:space="preserve">не менее чем через три года его участия в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накопительно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-ипотечной системе имеет право на заключение с уполномоченным федеральным органом договора целевого жилищного займа.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18A73FB2" wp14:editId="63433F9E">
            <wp:extent cx="152400" cy="152400"/>
            <wp:effectExtent l="0" t="0" r="0" b="0"/>
            <wp:docPr id="8" name="Рисунок 8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Бесплатное вещевое и продовольственное обеспечение, в том числе путем организации питания по месту военной службы - для отдельных категорий военнослужащих, и выдачей продовольственного пайка - для военнослужащих, проходящих военную службу по контракту за пределами территории Российской Федерации, в районах Крайнего Севера и приравненных к ним местностях.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E9AF1C6" wp14:editId="593A10D2">
            <wp:extent cx="152400" cy="152400"/>
            <wp:effectExtent l="0" t="0" r="0" b="0"/>
            <wp:docPr id="7" name="Рисунок 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Бесплатное обследование, лечение и реабилитационное обеспечение в военно-медицинских учреждениях, в том числе ежегодное диспансерное наблюдение.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51985C2D" wp14:editId="5D150516">
            <wp:extent cx="152400" cy="152400"/>
            <wp:effectExtent l="0" t="0" r="0" b="0"/>
            <wp:docPr id="6" name="Рисунок 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Бесплатный проезд к новому месту службы и в командировку: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6DFF92F8" wp14:editId="00B62251">
            <wp:extent cx="152400" cy="152400"/>
            <wp:effectExtent l="0" t="0" r="0" b="0"/>
            <wp:docPr id="5" name="Рисунок 5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Проезд на безвозмездной основе один раз в год к месту проведения основного отпуска и обратно военнослужащим, проходящим службу по контракту в районах Крайнего Севера и приравненных к ним местностях, в том числе на территории субъектов Российской Федерации, входящих в Уральский и Дальневосточный федеральные округа, и одному члену его семьи;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33F6E5C7" wp14:editId="21D9C89B">
            <wp:extent cx="152400" cy="152400"/>
            <wp:effectExtent l="0" t="0" r="0" b="0"/>
            <wp:docPr id="4" name="Рисунок 4" descr="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➕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Проезд на безвозмездной основе на избранное место жительства при увольнении с военной службы.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078945B6" wp14:editId="3844025A">
            <wp:extent cx="152400" cy="152400"/>
            <wp:effectExtent l="0" t="0" r="0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Социальные гарантии в связи с обучением в образовательных организациях в период службы, а также преимущественное право на поступление после увольнения с военной службы в государственные образовательные организации высшего и среднего профессионального образования и на подготовительные отделения федеральных государственных образовательных организаций высшего образования.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0845BA45" wp14:editId="76079233">
            <wp:extent cx="152400" cy="152400"/>
            <wp:effectExtent l="0" t="0" r="0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Обязательное государственное личное страхование за счет средств федерального бюджета.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noProof/>
          <w:sz w:val="28"/>
          <w:shd w:val="clear" w:color="auto" w:fill="FFFFFF"/>
          <w:lang w:eastAsia="ru-RU"/>
        </w:rPr>
        <w:drawing>
          <wp:inline distT="0" distB="0" distL="0" distR="0" wp14:anchorId="5A0DA655" wp14:editId="58B2F041">
            <wp:extent cx="152400" cy="152400"/>
            <wp:effectExtent l="0" t="0" r="0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Пенсионное обеспечение.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 xml:space="preserve">Для подробной информации обращаться по адресу: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пгт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. Агинское, </w:t>
      </w:r>
      <w:proofErr w:type="spell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ул</w:t>
      </w:r>
      <w:proofErr w:type="spell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 Ленина, 60</w:t>
      </w:r>
      <w:proofErr w:type="gramStart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>Т</w:t>
      </w:r>
      <w:proofErr w:type="gramEnd"/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ел.: +7-30239-3-51-81, +7-914-449-21-91, +7-914-136-65-33,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>+7-914-507-08-43, +7-914-364-14-92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>Факс: +7-30239-3-51-76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  <w:t>Адрес электронной почты: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fldChar w:fldCharType="begin"/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 xml:space="preserve"> </w:instrTex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instrText>HYPERLINK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 xml:space="preserve"> "</w:instrTex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instrText>mailto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>: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instrText>povsk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>_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instrText>aginsk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>@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instrText>mil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>.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instrText>ru</w:instrTex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instrText xml:space="preserve">" </w:instrTex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fldChar w:fldCharType="separate"/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  <w:lang w:val="en-US"/>
        </w:rPr>
        <w:t>povsk</w:t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</w:rPr>
        <w:t>_</w:t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  <w:lang w:val="en-US"/>
        </w:rPr>
        <w:t>aginsk</w:t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</w:rPr>
        <w:t>@</w:t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  <w:lang w:val="en-US"/>
        </w:rPr>
        <w:t>mil</w:t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</w:rPr>
        <w:t>.</w:t>
      </w:r>
      <w:r w:rsidRPr="00DB1963">
        <w:rPr>
          <w:rStyle w:val="a3"/>
          <w:rFonts w:ascii="Times New Roman" w:hAnsi="Times New Roman" w:cs="Times New Roman"/>
          <w:sz w:val="24"/>
          <w:szCs w:val="20"/>
          <w:shd w:val="clear" w:color="auto" w:fill="FFFFFF"/>
          <w:lang w:val="en-US"/>
        </w:rPr>
        <w:t>ru</w:t>
      </w:r>
      <w:r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  <w:lang w:val="en-US"/>
        </w:rPr>
        <w:fldChar w:fldCharType="end"/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 xml:space="preserve">, </w:t>
      </w:r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t> </w:t>
      </w:r>
      <w:hyperlink r:id="rId9" w:history="1"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povsk80@mail.ru</w:t>
        </w:r>
      </w:hyperlink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hyperlink r:id="rId10" w:history="1"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vk.com/</w:t>
        </w:r>
        <w:proofErr w:type="spellStart"/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povsk_aginskoe_vvo</w:t>
        </w:r>
        <w:proofErr w:type="spellEnd"/>
      </w:hyperlink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hyperlink r:id="rId11" w:tgtFrame="_blank" w:history="1"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ok.ru/</w:t>
        </w:r>
        <w:proofErr w:type="spellStart"/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povskaginskoe</w:t>
        </w:r>
        <w:proofErr w:type="spellEnd"/>
      </w:hyperlink>
      <w:r w:rsidRPr="0032103F">
        <w:rPr>
          <w:rFonts w:ascii="Times New Roman" w:hAnsi="Times New Roman" w:cs="Times New Roman"/>
          <w:color w:val="000000"/>
          <w:sz w:val="24"/>
          <w:szCs w:val="20"/>
          <w:shd w:val="clear" w:color="auto" w:fill="FFFFFF"/>
        </w:rPr>
        <w:br/>
      </w:r>
      <w:hyperlink r:id="rId12" w:tgtFrame="_blank" w:history="1"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instagram.com/</w:t>
        </w:r>
        <w:proofErr w:type="spellStart"/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povsk_aginskoe</w:t>
        </w:r>
        <w:proofErr w:type="spellEnd"/>
        <w:r w:rsidRPr="0032103F">
          <w:rPr>
            <w:rStyle w:val="a3"/>
            <w:rFonts w:ascii="Times New Roman" w:hAnsi="Times New Roman" w:cs="Times New Roman"/>
            <w:sz w:val="24"/>
            <w:szCs w:val="20"/>
            <w:u w:val="none"/>
            <w:shd w:val="clear" w:color="auto" w:fill="FFFFFF"/>
          </w:rPr>
          <w:t>/</w:t>
        </w:r>
      </w:hyperlink>
    </w:p>
    <w:p w:rsidR="0032103F" w:rsidRPr="0032103F" w:rsidRDefault="0032103F" w:rsidP="0032103F">
      <w:pPr>
        <w:tabs>
          <w:tab w:val="num" w:pos="0"/>
        </w:tabs>
        <w:rPr>
          <w:rFonts w:ascii="Times New Roman" w:hAnsi="Times New Roman" w:cs="Times New Roman"/>
          <w:sz w:val="28"/>
        </w:rPr>
      </w:pPr>
    </w:p>
    <w:p w:rsidR="0032103F" w:rsidRPr="0032103F" w:rsidRDefault="0032103F" w:rsidP="0032103F">
      <w:pPr>
        <w:tabs>
          <w:tab w:val="num" w:pos="0"/>
        </w:tabs>
        <w:rPr>
          <w:rFonts w:ascii="Times New Roman" w:hAnsi="Times New Roman" w:cs="Times New Roman"/>
          <w:sz w:val="28"/>
        </w:rPr>
      </w:pPr>
    </w:p>
    <w:sectPr w:rsidR="0032103F" w:rsidRPr="0032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📌" style="width:12pt;height:12pt;visibility:visible;mso-wrap-style:square" o:bullet="t">
        <v:imagedata r:id="rId1" o:title="📌"/>
      </v:shape>
    </w:pict>
  </w:numPicBullet>
  <w:abstractNum w:abstractNumId="0">
    <w:nsid w:val="1CD308D9"/>
    <w:multiLevelType w:val="hybridMultilevel"/>
    <w:tmpl w:val="4914EDA8"/>
    <w:lvl w:ilvl="0" w:tplc="06CAB9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AE50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2B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E8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3223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4A2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2CEC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0D0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4474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03F"/>
    <w:rsid w:val="0032103F"/>
    <w:rsid w:val="00563ECD"/>
    <w:rsid w:val="00D0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103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0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0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103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0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hyperlink" Target="https://vk.com/away.php?to=http%3A%2F%2Finstagram.com%2Fpovsk_aginskoe%2F&amp;post=-19096839_1121&amp;cc_key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vk.com/away.php?to=http%3A%2F%2Fok.ru%2Fpovskaginskoe&amp;post=-19096839_1121&amp;cc_key=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k.com/povsk_aginskoe_vv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vsk80@mail.ru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2020-06-03T06:31:00Z</cp:lastPrinted>
  <dcterms:created xsi:type="dcterms:W3CDTF">2020-06-03T06:25:00Z</dcterms:created>
  <dcterms:modified xsi:type="dcterms:W3CDTF">2020-06-03T08:03:00Z</dcterms:modified>
</cp:coreProperties>
</file>