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C" w:rsidRPr="00DF7DAC" w:rsidRDefault="00DF7DAC" w:rsidP="00DF7DAC">
      <w:pPr>
        <w:pStyle w:val="a4"/>
        <w:jc w:val="center"/>
        <w:rPr>
          <w:b/>
          <w:sz w:val="32"/>
          <w:szCs w:val="32"/>
          <w:lang w:val="ru-RU"/>
        </w:rPr>
      </w:pPr>
      <w:r w:rsidRPr="00DF7DAC">
        <w:rPr>
          <w:b/>
          <w:sz w:val="32"/>
          <w:szCs w:val="32"/>
          <w:lang w:val="ru-RU"/>
        </w:rPr>
        <w:t>АДМИНИСТРАЦИЯ СЕЛЬСКОГО ПОСЕЛЕНИЯ «ЕЛИЗАВЕТИНСКОЕ»</w:t>
      </w:r>
    </w:p>
    <w:p w:rsidR="00DF7DAC" w:rsidRDefault="00DF7DAC" w:rsidP="00DF7DAC">
      <w:pPr>
        <w:pStyle w:val="a4"/>
        <w:jc w:val="center"/>
        <w:rPr>
          <w:sz w:val="28"/>
          <w:szCs w:val="28"/>
          <w:lang w:val="ru-RU"/>
        </w:rPr>
      </w:pPr>
      <w:r w:rsidRPr="00DF7DAC">
        <w:rPr>
          <w:b/>
          <w:sz w:val="32"/>
          <w:szCs w:val="32"/>
          <w:lang w:val="ru-RU"/>
        </w:rPr>
        <w:t>РАСПОРЯЖЕНИЕ</w:t>
      </w:r>
    </w:p>
    <w:p w:rsidR="00DF7DAC" w:rsidRDefault="00DF7DAC" w:rsidP="00DF7DAC">
      <w:pPr>
        <w:pStyle w:val="a4"/>
        <w:jc w:val="both"/>
        <w:rPr>
          <w:sz w:val="28"/>
          <w:szCs w:val="28"/>
          <w:lang w:val="ru-RU"/>
        </w:rPr>
      </w:pPr>
    </w:p>
    <w:p w:rsidR="00DF7DAC" w:rsidRPr="00DF7DAC" w:rsidRDefault="00DF7DAC" w:rsidP="00DF7DAC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 ноября 2023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№27</w:t>
      </w:r>
    </w:p>
    <w:p w:rsidR="00DF7DAC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принятии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учетной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политики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для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целей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бюджетного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учета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новой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4682">
        <w:rPr>
          <w:rFonts w:hAnsi="Times New Roman" w:cs="Times New Roman"/>
          <w:b/>
          <w:color w:val="000000"/>
          <w:sz w:val="28"/>
          <w:szCs w:val="28"/>
          <w:lang w:val="ru-RU"/>
        </w:rPr>
        <w:t>редакции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исполнение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Закона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от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06.12.2011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№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402-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ФЗ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приказа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Минфина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от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01.12.2010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№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157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н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Федерального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стандарта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«Учетная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политика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оценочные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значения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ошибки»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утвержденного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приказом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Минфина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от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30.12.2017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№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274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н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: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1.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Принять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учетную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политику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для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целей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бюджетного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учета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новой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редакции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согласно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приложению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ввести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ее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действие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</w:t>
      </w:r>
      <w:r w:rsidRPr="00FC4682">
        <w:rPr>
          <w:rFonts w:hAnsi="Times New Roman" w:cs="Times New Roman"/>
          <w:color w:val="000000"/>
          <w:sz w:val="24"/>
          <w:szCs w:val="28"/>
        </w:rPr>
        <w:t> 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01.01.2023.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2.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Учетную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политику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принятую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18 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06.03.2015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г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считать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утратившей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силу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.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3.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Довести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всех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подразделений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служб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соответствующие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документы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необходимые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для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обеспечения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реализации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учетной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политики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организации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бюджетного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учета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документооборота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,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санкционирования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расходов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.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4. </w:t>
      </w:r>
      <w:proofErr w:type="gramStart"/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Контроль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за</w:t>
      </w:r>
      <w:proofErr w:type="gramEnd"/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исполнением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приказа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возложить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на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заместителя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>главы</w:t>
      </w:r>
      <w:r w:rsidRPr="00FC4682"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Глова</w:t>
      </w: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8"/>
          <w:lang w:val="ru-RU"/>
        </w:rPr>
        <w:t>.</w:t>
      </w:r>
      <w:r>
        <w:rPr>
          <w:rFonts w:hAnsi="Times New Roman" w:cs="Times New Roman"/>
          <w:color w:val="000000"/>
          <w:sz w:val="24"/>
          <w:szCs w:val="28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8"/>
          <w:lang w:val="ru-RU"/>
        </w:rPr>
        <w:t>.</w:t>
      </w:r>
    </w:p>
    <w:p w:rsidR="00DF7DAC" w:rsidRPr="00FC4682" w:rsidRDefault="00DF7DAC" w:rsidP="00DF7DAC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6"/>
        <w:gridCol w:w="1409"/>
        <w:gridCol w:w="2872"/>
        <w:gridCol w:w="150"/>
      </w:tblGrid>
      <w:tr w:rsidR="00DF7DAC" w:rsidRPr="00FC4682" w:rsidTr="000C02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Глава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сельского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поселения</w:t>
            </w:r>
          </w:p>
          <w:p w:rsidR="00DF7DAC" w:rsidRPr="00FC4682" w:rsidRDefault="00DF7DAC" w:rsidP="000C021F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«Елизаветинское»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sz w:val="24"/>
                <w:szCs w:val="28"/>
              </w:rPr>
            </w:pPr>
            <w:r w:rsidRPr="00FC4682">
              <w:rPr>
                <w:rFonts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7DAC" w:rsidRPr="00FC4682" w:rsidRDefault="00DF7DAC" w:rsidP="00DF7DAC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Гудков</w:t>
            </w:r>
          </w:p>
        </w:tc>
      </w:tr>
      <w:tr w:rsidR="00DF7DAC" w:rsidRPr="00FC4682" w:rsidTr="000C021F">
        <w:tc>
          <w:tcPr>
            <w:tcW w:w="4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F7DAC" w:rsidRPr="00E4306D" w:rsidTr="000C021F">
        <w:trPr>
          <w:gridAfter w:val="1"/>
          <w:wAfter w:w="150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Default="00DF7DAC" w:rsidP="000C021F">
            <w:pPr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  <w:p w:rsidR="00DF7DAC" w:rsidRPr="00FC4682" w:rsidRDefault="00DF7DAC" w:rsidP="000C021F">
            <w:pPr>
              <w:jc w:val="both"/>
              <w:rPr>
                <w:sz w:val="20"/>
                <w:lang w:val="ru-RU"/>
              </w:rPr>
            </w:pP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Приложение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1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ab/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ab/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ab/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к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распоряжению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27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от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28.11.2023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C4682">
              <w:rPr>
                <w:rFonts w:hAnsi="Times New Roman" w:cs="Times New Roman"/>
                <w:color w:val="000000"/>
                <w:szCs w:val="24"/>
                <w:lang w:val="ru-RU"/>
              </w:rPr>
              <w:t>г</w:t>
            </w:r>
          </w:p>
        </w:tc>
      </w:tr>
      <w:tr w:rsidR="00DF7DAC" w:rsidRPr="00E4306D" w:rsidTr="000C021F">
        <w:trPr>
          <w:gridAfter w:val="1"/>
          <w:wAfter w:w="150" w:type="dxa"/>
        </w:trPr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DF7DAC" w:rsidRDefault="00DF7DAC" w:rsidP="00DF7DAC">
      <w:pPr>
        <w:jc w:val="center"/>
        <w:rPr>
          <w:rFonts w:cstheme="minorHAnsi"/>
          <w:b/>
          <w:bCs/>
          <w:color w:val="000000"/>
          <w:sz w:val="28"/>
          <w:szCs w:val="24"/>
          <w:lang w:val="ru-RU"/>
        </w:rPr>
      </w:pPr>
    </w:p>
    <w:p w:rsidR="00DF7DAC" w:rsidRDefault="00DF7DAC" w:rsidP="00DF7DAC">
      <w:pPr>
        <w:jc w:val="center"/>
        <w:rPr>
          <w:rFonts w:cstheme="minorHAnsi"/>
          <w:b/>
          <w:bCs/>
          <w:color w:val="000000"/>
          <w:sz w:val="28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8"/>
          <w:szCs w:val="24"/>
          <w:lang w:val="ru-RU"/>
        </w:rPr>
        <w:t>Учетная политика для целей бюджетного учета</w:t>
      </w:r>
    </w:p>
    <w:p w:rsidR="00DF7DAC" w:rsidRPr="00FC4682" w:rsidRDefault="00DF7DAC" w:rsidP="00DF7DAC">
      <w:pPr>
        <w:jc w:val="center"/>
        <w:rPr>
          <w:rFonts w:cstheme="minorHAnsi"/>
          <w:color w:val="000000"/>
          <w:sz w:val="28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Учетная политика Администрации </w:t>
      </w:r>
      <w:r>
        <w:rPr>
          <w:rFonts w:cstheme="minorHAnsi"/>
          <w:color w:val="000000"/>
          <w:sz w:val="24"/>
          <w:szCs w:val="24"/>
          <w:lang w:val="ru-RU"/>
        </w:rPr>
        <w:t xml:space="preserve">сельского 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поселения «</w:t>
      </w:r>
      <w:r>
        <w:rPr>
          <w:rFonts w:cstheme="minorHAnsi"/>
          <w:color w:val="000000"/>
          <w:sz w:val="24"/>
          <w:szCs w:val="24"/>
          <w:lang w:val="ru-RU"/>
        </w:rPr>
        <w:t>Елизаветинское</w:t>
      </w:r>
      <w:r w:rsidRPr="00FC4682">
        <w:rPr>
          <w:rFonts w:cstheme="minorHAnsi"/>
          <w:color w:val="000000"/>
          <w:sz w:val="24"/>
          <w:szCs w:val="24"/>
          <w:lang w:val="ru-RU"/>
        </w:rPr>
        <w:t>» разработана в соответствии:</w:t>
      </w:r>
    </w:p>
    <w:p w:rsidR="00DF7DAC" w:rsidRPr="00882831" w:rsidRDefault="00DF7DAC" w:rsidP="00DF7DAC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 приказом Минфина от 01.12.2010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его применению» </w:t>
      </w:r>
      <w:r w:rsidRPr="00FC4682">
        <w:rPr>
          <w:rFonts w:cstheme="minorHAnsi"/>
          <w:color w:val="000000"/>
          <w:sz w:val="24"/>
          <w:szCs w:val="24"/>
        </w:rPr>
        <w:t>(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далее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Инструкции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Единомупланусчетов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№ 157н);</w:t>
      </w:r>
    </w:p>
    <w:p w:rsidR="00DF7DAC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DF7DAC" w:rsidRPr="00882831" w:rsidRDefault="00DF7DAC" w:rsidP="00DF7DAC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приказом Минфина от 06.12.2010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162н «Об утверждении Плана счетов бюджетного учета и Инструкции по его применению» </w:t>
      </w:r>
      <w:r w:rsidRPr="00FC4682">
        <w:rPr>
          <w:rFonts w:cstheme="minorHAnsi"/>
          <w:color w:val="000000"/>
          <w:sz w:val="24"/>
          <w:szCs w:val="24"/>
        </w:rPr>
        <w:t>(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далее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 –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Инструкция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№ 162н);</w:t>
      </w:r>
    </w:p>
    <w:p w:rsidR="00DF7DAC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DF7DAC" w:rsidRDefault="00DF7DAC" w:rsidP="00DF7DAC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DF7DAC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Default="00DF7DAC" w:rsidP="00DF7DAC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»(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далее – приказ № 209н);</w:t>
      </w:r>
    </w:p>
    <w:p w:rsidR="00DF7DAC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882831" w:rsidRDefault="00DF7DAC" w:rsidP="00DF7DAC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FC4682">
        <w:rPr>
          <w:rFonts w:cstheme="minorHAnsi"/>
          <w:color w:val="000000"/>
          <w:sz w:val="24"/>
          <w:szCs w:val="24"/>
        </w:rPr>
        <w:t>(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далее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приказ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>а</w:t>
      </w:r>
      <w:r w:rsidRPr="00FC4682">
        <w:rPr>
          <w:rFonts w:cstheme="minorHAnsi"/>
          <w:color w:val="000000"/>
          <w:sz w:val="24"/>
          <w:szCs w:val="24"/>
        </w:rPr>
        <w:t xml:space="preserve"> № 52н);</w:t>
      </w:r>
    </w:p>
    <w:p w:rsidR="00DF7DAC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882831" w:rsidRDefault="00DF7DAC" w:rsidP="00DF7DAC">
      <w:p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882831" w:rsidRDefault="00DF7DAC" w:rsidP="00DF7DAC">
      <w:pPr>
        <w:numPr>
          <w:ilvl w:val="0"/>
          <w:numId w:val="1"/>
        </w:num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</w:t>
      </w:r>
      <w:bookmarkStart w:id="0" w:name="_GoBack"/>
      <w:bookmarkEnd w:id="0"/>
      <w:r w:rsidRPr="00FC4682">
        <w:rPr>
          <w:rFonts w:cstheme="minorHAnsi"/>
          <w:color w:val="000000"/>
          <w:sz w:val="24"/>
          <w:szCs w:val="24"/>
          <w:lang w:val="ru-RU"/>
        </w:rPr>
        <w:t xml:space="preserve">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отчетнойдаты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», СГС «Информация о связанных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Непроизведенные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соответственноСГС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«Нематериальные активы», СГС «Затраты по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заимствованиям», СГС «Совместная деятельность», СГС «Выплаты персоналу»), от 30.06.2020 № 129н (далее – СГС «Финансовые инструменты»), Приказом Минфина России от 15 июня 2021 г. № 84н "Об утверждении федерального стандарта бухгалтерского учета государственных финансов "Государственная (муниципальная) казна"</w:t>
      </w:r>
    </w:p>
    <w:p w:rsidR="00DF7DAC" w:rsidRDefault="00DF7DAC" w:rsidP="00DF7DAC">
      <w:p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Default="00DF7DAC" w:rsidP="00DF7DAC">
      <w:p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Default="00DF7DAC" w:rsidP="00DF7DAC">
      <w:p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DF7DAC" w:rsidRDefault="00DF7DAC" w:rsidP="00DF7DAC">
      <w:p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DF7DAC" w:rsidRDefault="00DF7DAC" w:rsidP="00DF7DAC">
      <w:p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DF7DAC" w:rsidRDefault="00DF7DAC" w:rsidP="00DF7DAC">
      <w:p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ind w:right="18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8"/>
        <w:gridCol w:w="6749"/>
      </w:tblGrid>
      <w:tr w:rsidR="00DF7DAC" w:rsidRPr="00FC4682" w:rsidTr="000C02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C468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C468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 w:rsidRPr="00FC468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68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сокращение</w:t>
            </w:r>
            <w:proofErr w:type="spellEnd"/>
            <w:r w:rsidRPr="00FC468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F7DAC" w:rsidRPr="00FC4682" w:rsidTr="000C02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DF7D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сельского</w:t>
            </w: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поселения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Елизаветинское</w:t>
            </w: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F7DAC" w:rsidRPr="00E4306D" w:rsidTr="000C02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1–17-е разряды номера счета в соответствии с Рабочим планом счетов</w:t>
            </w:r>
          </w:p>
        </w:tc>
      </w:tr>
      <w:tr w:rsidR="00DF7DAC" w:rsidRPr="00E4306D" w:rsidTr="000C02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DAC" w:rsidRPr="00FC4682" w:rsidRDefault="00DF7DAC" w:rsidP="000C021F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26-й</w:t>
            </w:r>
            <w:r w:rsidRPr="00FC468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разряд – соответствующая подстатья</w:t>
            </w:r>
            <w:r w:rsidRPr="00FC468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C4682">
              <w:rPr>
                <w:rFonts w:cstheme="minorHAnsi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  <w:tr w:rsidR="00DF7DAC" w:rsidRPr="00E4306D" w:rsidTr="000C021F"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DAC" w:rsidRPr="00FC4682" w:rsidRDefault="00DF7DAC" w:rsidP="000C021F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Общие</w:t>
      </w:r>
      <w:r w:rsidRPr="00FC4682">
        <w:rPr>
          <w:rFonts w:cstheme="minorHAnsi"/>
          <w:b/>
          <w:bCs/>
          <w:color w:val="000000"/>
          <w:sz w:val="24"/>
          <w:szCs w:val="24"/>
        </w:rPr>
        <w:t> 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положения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 Администрация является главным администратором доходов, главным распорядителем бюджетных средств, получателем бюджетных средств.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2. Бюджетный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учет ведет структурное подразделение – бухгалтерия, возглавляемая заместителем главы. Сотрудники бухгалтерии руководствуются в своей работе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Положением о бухгалтерии.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Ответственным за ведение бюджетного учета в Администрации является заместитель главы.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часть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7 Закона от 06.12.2011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402-ФЗ, пункт 4 Инструкции 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Единому плану счетов № 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В Администрации действуют постоянные комиссии: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комиссия по поступлению и выбытию активов (приложение 1);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инвентаризационная комиссия (приложение 2);</w:t>
      </w:r>
      <w:r w:rsidRPr="00FC4682">
        <w:rPr>
          <w:rFonts w:cstheme="minorHAnsi"/>
          <w:sz w:val="24"/>
          <w:szCs w:val="24"/>
          <w:lang w:val="ru-RU"/>
        </w:rPr>
        <w:br/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 Администрация публикует основные положения учетной политики на своем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официальном сайте путем размещения копий документов учетной политики.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5. При внесении изменений в учетную политику заместитель главы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II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продуктов:</w:t>
      </w:r>
      <w:r w:rsidRPr="00FC4682">
        <w:rPr>
          <w:rFonts w:cstheme="minorHAnsi"/>
          <w:sz w:val="24"/>
          <w:szCs w:val="24"/>
          <w:lang w:val="ru-RU"/>
        </w:rPr>
        <w:br/>
      </w:r>
      <w:r w:rsidR="004017D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4017DA">
        <w:rPr>
          <w:rFonts w:cstheme="minorHAnsi"/>
          <w:color w:val="000000"/>
          <w:sz w:val="24"/>
          <w:szCs w:val="24"/>
          <w:lang w:val="ru-RU"/>
        </w:rPr>
        <w:t>–</w:t>
      </w:r>
      <w:proofErr w:type="spellStart"/>
      <w:r w:rsidR="004017DA">
        <w:rPr>
          <w:rFonts w:cstheme="minorHAnsi"/>
          <w:color w:val="000000"/>
          <w:sz w:val="24"/>
          <w:szCs w:val="24"/>
          <w:lang w:val="ru-RU"/>
        </w:rPr>
        <w:t>Ч</w:t>
      </w:r>
      <w:proofErr w:type="gramEnd"/>
      <w:r w:rsidR="004017DA">
        <w:rPr>
          <w:rFonts w:cstheme="minorHAnsi"/>
          <w:color w:val="000000"/>
          <w:sz w:val="24"/>
          <w:szCs w:val="24"/>
          <w:lang w:val="ru-RU"/>
        </w:rPr>
        <w:t>итаинформ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 – для бюджетного учета;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«Зарплата</w:t>
      </w:r>
      <w:r w:rsidR="004017D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4017DA">
        <w:rPr>
          <w:rFonts w:cstheme="minorHAnsi"/>
          <w:color w:val="000000"/>
          <w:sz w:val="24"/>
          <w:szCs w:val="24"/>
          <w:lang w:val="ru-RU"/>
        </w:rPr>
        <w:t>Читаинформ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 – для учета заработной платы;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 Администрации ведет электронный документооборот по следующим направлениям:</w:t>
      </w:r>
    </w:p>
    <w:p w:rsidR="00DF7DAC" w:rsidRPr="00FC4682" w:rsidRDefault="00DF7DAC" w:rsidP="00DF7DAC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Федерального казначейства;</w:t>
      </w:r>
    </w:p>
    <w:p w:rsidR="00DF7DAC" w:rsidRPr="00FC4682" w:rsidRDefault="00DF7DAC" w:rsidP="00DF7DAC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 w:rsidRPr="00FC4682">
        <w:rPr>
          <w:rFonts w:cstheme="minorHAnsi"/>
          <w:color w:val="000000"/>
          <w:sz w:val="24"/>
          <w:szCs w:val="24"/>
          <w:lang w:val="ru-RU"/>
        </w:rPr>
        <w:tab/>
        <w:t>Инспекцию Федеральной налоговой службы;</w:t>
      </w:r>
    </w:p>
    <w:p w:rsidR="00DF7DAC" w:rsidRPr="00FC4682" w:rsidRDefault="00DF7DAC" w:rsidP="00DF7DAC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DF7DAC" w:rsidRPr="00FC4682" w:rsidRDefault="00DF7DAC" w:rsidP="00DF7DAC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размещение информации о деятельности Администрации на официальном сайте </w:t>
      </w:r>
      <w:r w:rsidRPr="00FC4682">
        <w:rPr>
          <w:rFonts w:cstheme="minorHAnsi"/>
          <w:color w:val="000000"/>
          <w:sz w:val="24"/>
          <w:szCs w:val="24"/>
          <w:lang w:val="ru-RU"/>
        </w:rPr>
        <w:tab/>
      </w:r>
      <w:r w:rsidR="004017DA">
        <w:rPr>
          <w:rFonts w:cstheme="minorHAnsi"/>
          <w:color w:val="000000"/>
          <w:sz w:val="24"/>
          <w:szCs w:val="24"/>
          <w:lang w:val="ru-RU"/>
        </w:rPr>
        <w:t>Администрации сельского поселение «Елизаветинское»</w:t>
      </w:r>
      <w:r w:rsidRPr="00FC4682">
        <w:rPr>
          <w:rFonts w:cstheme="minorHAnsi"/>
          <w:color w:val="000000"/>
          <w:sz w:val="24"/>
          <w:szCs w:val="24"/>
          <w:lang w:val="ru-RU"/>
        </w:rPr>
        <w:t>;</w:t>
      </w:r>
    </w:p>
    <w:p w:rsidR="00DF7DAC" w:rsidRPr="00FC4682" w:rsidRDefault="00DF7DAC" w:rsidP="00DF7DAC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Электронный бюджет, Бюджет ПРО, Свод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смарт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отчетности:</w:t>
      </w:r>
    </w:p>
    <w:p w:rsidR="00DF7DAC" w:rsidRPr="00FC4682" w:rsidRDefault="00DF7DAC" w:rsidP="00DF7DAC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«Бухгалтерия </w:t>
      </w:r>
      <w:proofErr w:type="spellStart"/>
      <w:r w:rsidR="004017DA">
        <w:rPr>
          <w:rFonts w:cstheme="minorHAnsi"/>
          <w:color w:val="000000"/>
          <w:sz w:val="24"/>
          <w:szCs w:val="24"/>
          <w:lang w:val="ru-RU"/>
        </w:rPr>
        <w:t>Читаинформ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», «Зарплата»;</w:t>
      </w:r>
    </w:p>
    <w:p w:rsidR="00DF7DAC" w:rsidRPr="00FC4682" w:rsidRDefault="00DF7DAC" w:rsidP="00DF7DAC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r w:rsidRPr="00FC4682">
        <w:rPr>
          <w:rFonts w:cstheme="minorHAnsi"/>
          <w:color w:val="000000"/>
          <w:sz w:val="24"/>
          <w:szCs w:val="24"/>
        </w:rPr>
        <w:t>CD</w:t>
      </w:r>
      <w:r w:rsidRPr="00FC4682">
        <w:rPr>
          <w:rFonts w:cstheme="minorHAnsi"/>
          <w:color w:val="000000"/>
          <w:sz w:val="24"/>
          <w:szCs w:val="24"/>
          <w:lang w:val="ru-RU"/>
        </w:rPr>
        <w:t>-диск, который хранится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сейфе заместителя главы;</w:t>
      </w:r>
    </w:p>
    <w:p w:rsidR="00DF7DAC" w:rsidRPr="00FC4682" w:rsidRDefault="00DF7DAC" w:rsidP="00DF7DAC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и подшиваются в отдельные папки в хронологическом порядке.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III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 Порядок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и сроки передачи первичных учетных документов для отражения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бухгалтерском учете устанавливаются в соответствии с приложением 17 к настоящей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учетной политике. 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д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 Администрация использует: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самостоятельно разработанные формы, которые приведены в приложении 12;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,п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одпункт «г» пункта 9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 перечисленным в приложении 13. Основание: пункт 11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 Администрация использует унифицированные формы регистров бухучета,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перечисленные в приложении 3 к приказу № 52н. При необходимости формы регистров,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 Основание: пункт 11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157н, подпункт «г» пункта 9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5. Администрация применяет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электронные формы первичных документов и регистров бухучета: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Решение о командировке на территории России (ф. 0504512);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Изменение Решения о командировке (ф. 0504513);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Решение о командировке на территорию иностранного государства (ф. 0504515);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Изменение Решения о командировании на территорию иностранного государства (ф. 0504516);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(ф. 0504518);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Отчет о расходах подотчетного лица (ф. 0504520);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Решение о компенсации расходов на проезд и провоз багажа в отпуск из районов Крайнего Севера (ф. 0504517);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Журнал регистрации приходных и расходных кассовых ордеров (ф. 0504093);</w:t>
      </w:r>
    </w:p>
    <w:p w:rsidR="00DF7DAC" w:rsidRPr="00FC4682" w:rsidRDefault="00DF7DAC" w:rsidP="00DF7DAC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Ведомость дополнительных доходов физических лиц, облагаемых НДФЛ, страховыми взносами (ф. 0504094).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6. При обработке учетной информации применяется автоматизированный учет по следующим блокам:</w:t>
      </w:r>
    </w:p>
    <w:p w:rsidR="00DF7DAC" w:rsidRPr="00FC4682" w:rsidRDefault="00DF7DAC" w:rsidP="00DF7DAC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свод месячной, квартальной, годовой бюджетной отчетности об исполнении бюджета составляется с применением программы «Свод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Смарт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»;</w:t>
      </w:r>
    </w:p>
    <w:p w:rsidR="00DF7DAC" w:rsidRPr="00FC4682" w:rsidRDefault="00DF7DAC" w:rsidP="00DF7DAC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свод годовой, квартальной бюджетной отчетности ГРБС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 с применением программы «Свод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Смарт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»;</w:t>
      </w:r>
    </w:p>
    <w:p w:rsidR="00DF7DAC" w:rsidRPr="00FC4682" w:rsidRDefault="00DF7DAC" w:rsidP="00DF7DAC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(СУФД)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7. При поступлении документов на иностранном языке построчный перевод таких  документов на русский язык осуществляется сотрудником (служащим) Администрации,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который владеет иностранным языком. Переводы составляются на отдельном документе, заверяются подписью сотрудника (служащего), составившего перевод,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прикладываются к первичным документам.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Если документы на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иностранном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языке составлены по типовой форме (идентичны по количеству граф, их названию, расшифровке работ и т.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д. и отличаются только </w:t>
      </w: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суммой),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то в отношении их постоянных показателей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перевода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русский язык. В последующем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переводить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нужно только изменяющиеся показатели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данного первичного документа.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8. Формирование электронных регистров бухучета осуществляется в следующем порядке: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документа); 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– журнал регистрации приходных и расходных ордеров составляется ежемесячно, в последний рабочий день месяца; 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–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дней, включая день оформления ордера; – инвентарная карточка учета основных средств оформляется при принятии объекта 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учету, по мере внесения изменений (данных о переоценке, модернизации, реконструкции, консервации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ежегодно, на последний рабочий день года, со сведениями о начисленной амортизации;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объектов к учету, по мере внесения изменений (данных о переоценке, модернизации,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реконструкции, консервации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пр.) и при выбытии;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депонированной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зарплаты и стипендий заполняются ежемесячно, в последний день месяца;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авансовые отчеты брошюруются в хронологическом порядке в последний день отчетного месяца;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не установлено законодательством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РФ.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9. Журнал операций расчетов по оплате труда, денежному довольствию и стипендиям (ф. 0504071) ведется раздельно по счетам: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КБК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1.302.11.000 «Расчеты по заработной плате» и КБК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1.302.13.000 «Расчеты по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начислениям на выплаты по оплате труда»;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 – КБК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1.302.12.000 «Расчеты по прочим несоциальным выплатам персоналу в денежной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форме» и КБК 1.302.14.000 «Расчеты по прочим несоциальным выплатам персоналу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натуральной форме»;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КБК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 Основание: пункт 257 Инструкции к Единому плану счетов № 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10. Журналы операций ведутся в соответствии с перечнем регистров бухучета получателя бюджетных средств, главного администратора доходов бюджета. Журналам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операций по учету исполнения бюджетной сметы и администрированию поступлений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выбытий присваиваются номера согласно приложению 11.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Журналы операций подписываются заместителем главы</w:t>
      </w:r>
      <w:r w:rsidR="004B7394">
        <w:rPr>
          <w:rFonts w:cstheme="minorHAnsi"/>
          <w:color w:val="000000"/>
          <w:sz w:val="24"/>
          <w:szCs w:val="24"/>
          <w:lang w:val="ru-RU"/>
        </w:rPr>
        <w:t xml:space="preserve"> по финансам</w:t>
      </w:r>
      <w:r w:rsidRPr="00FC4682">
        <w:rPr>
          <w:rFonts w:cstheme="minorHAnsi"/>
          <w:color w:val="000000"/>
          <w:sz w:val="24"/>
          <w:szCs w:val="24"/>
          <w:lang w:val="ru-RU"/>
        </w:rPr>
        <w:t>, составившим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журнал операций.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На основании данных журналов операций по требованию</w:t>
      </w:r>
      <w:r w:rsidR="004B739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4682">
        <w:rPr>
          <w:rFonts w:cstheme="minorHAnsi"/>
          <w:color w:val="000000"/>
          <w:sz w:val="24"/>
          <w:szCs w:val="24"/>
          <w:lang w:val="ru-RU"/>
        </w:rPr>
        <w:t>формируется главная книга: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11.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 утверждается отдельным приказом</w:t>
      </w:r>
      <w:r w:rsidR="004B7394">
        <w:rPr>
          <w:rFonts w:cstheme="minorHAnsi"/>
          <w:color w:val="000000"/>
          <w:sz w:val="24"/>
          <w:szCs w:val="24"/>
          <w:lang w:val="ru-RU"/>
        </w:rPr>
        <w:t>, распоряжением</w:t>
      </w:r>
      <w:r w:rsidRPr="00FC4682">
        <w:rPr>
          <w:rFonts w:cstheme="minorHAnsi"/>
          <w:color w:val="000000"/>
          <w:sz w:val="24"/>
          <w:szCs w:val="24"/>
          <w:lang w:val="ru-RU"/>
        </w:rPr>
        <w:t>.</w:t>
      </w:r>
      <w:r w:rsidRPr="00FC4682">
        <w:rPr>
          <w:rFonts w:cstheme="minorHAnsi"/>
          <w:sz w:val="24"/>
          <w:szCs w:val="24"/>
          <w:lang w:val="ru-RU"/>
        </w:rPr>
        <w:br/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 xml:space="preserve">Основание: часть 5 статьи 9 Закона от 06.12.2011 № 402-ФЗ, пункт 11 Инструкции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кЕдиному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63-ФЗ.</w:t>
      </w:r>
      <w:proofErr w:type="gramEnd"/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16. Особенности применения первичных документов: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16.1. При приобретении и реализации основных средств, нематериальных и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непроизведенных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активов составляется акт 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16.2.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0306008).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16.4. Расчеты по заработной плате и другим выплатам оформляются в Расчетной ведомости (ф</w:t>
      </w:r>
      <w:r w:rsidRPr="00FC4682">
        <w:rPr>
          <w:rFonts w:cstheme="minorHAnsi"/>
          <w:sz w:val="24"/>
          <w:szCs w:val="24"/>
          <w:lang w:val="ru-RU"/>
        </w:rPr>
        <w:t>. 0504402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) и Платежной ведомости (ф. 0504403), а также в работе используется реестр на зачисление заработной платы в рамках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зарплатного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проекта в форме, предложенной ПАО «Сбербанк» с применением электронных подписей.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16.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IV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План счетов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Бюджетный учет ведется с использованием рабочего Плана счетов (приложение 6), разработанного в соответствии с Инструкцией к Единому плану счетов № 157н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,И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нструкцией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162н.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2 и 6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забалансовых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157н, Администрация применяет дополнительные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забалансовые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счета, утвержденные в Рабочем плане счетов (приложение 6). Основание: пункт 332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V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1.1.Бюджетный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14).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3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157н, пункт 23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Администрации по поступлению и выбытию активов».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заместителя главы</w:t>
      </w:r>
      <w:r w:rsidR="004B7394">
        <w:rPr>
          <w:rFonts w:cstheme="minorHAnsi"/>
          <w:color w:val="000000"/>
          <w:sz w:val="24"/>
          <w:szCs w:val="24"/>
          <w:lang w:val="ru-RU"/>
        </w:rPr>
        <w:t xml:space="preserve"> по финансам.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2. Основные средства</w:t>
      </w:r>
    </w:p>
    <w:p w:rsidR="004B7394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2.1. Администрация 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месяцев, 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объединяются следующие объекты имущества несущественной стоимости, имеющие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одинаковые сроки полезного и ожидаемого использования:</w:t>
      </w:r>
    </w:p>
    <w:p w:rsidR="00DF7DAC" w:rsidRPr="00FC4682" w:rsidRDefault="00DF7DAC" w:rsidP="00DF7DAC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мебель для обстановки одного помещения – столы, стулья, стеллажи, шкафы,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полки;</w:t>
      </w:r>
      <w:proofErr w:type="gramEnd"/>
    </w:p>
    <w:p w:rsidR="00DF7DAC" w:rsidRPr="00FC4682" w:rsidRDefault="00DF7DAC" w:rsidP="00DF7DAC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компьютерное и периферийное оборудование – системные блоки, мониторы,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принтеры, сканеры, компьютерные мыши, клавиатуры, колонки, акустические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системы, микрофоны,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веб-камеры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, устройства захвата видео, внешние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ТВ-тюнеры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, внешние накопители на жестких дисках;</w:t>
      </w:r>
      <w:proofErr w:type="gramEnd"/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Не считается существенной стоимость до 20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000 руб. за один имущественный объект. Необходимость объединения и конкретный перечень объединяемых объектов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определяет комиссия по поступлению и выбытию активов.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2.3. Уникальный инвентарный номер состои</w:t>
      </w:r>
      <w:r w:rsidR="009A6CF3">
        <w:rPr>
          <w:rFonts w:cstheme="minorHAnsi"/>
          <w:color w:val="000000"/>
          <w:sz w:val="24"/>
          <w:szCs w:val="24"/>
          <w:lang w:val="ru-RU"/>
        </w:rPr>
        <w:t>т из 7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знаков и присваивается</w:t>
      </w:r>
      <w:r w:rsidR="009A6CF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автоматически в </w:t>
      </w:r>
      <w:proofErr w:type="spellStart"/>
      <w:r w:rsidR="009A6CF3">
        <w:rPr>
          <w:rFonts w:cstheme="minorHAnsi"/>
          <w:color w:val="000000"/>
          <w:sz w:val="24"/>
          <w:szCs w:val="24"/>
          <w:lang w:val="ru-RU"/>
        </w:rPr>
        <w:t>Читаинформ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номер обозначается на каждом составляющем элементе тем же способом, что и на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сложном объекте.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выбываемых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) составных частей. Данное правило применяется к следующим группам основных средств: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27 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разукомплектации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объекта основного средства,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следующему показателю </w:t>
      </w:r>
      <w:r w:rsidRPr="00FC4682">
        <w:rPr>
          <w:rFonts w:cstheme="minorHAnsi"/>
          <w:color w:val="000000"/>
          <w:sz w:val="24"/>
          <w:szCs w:val="24"/>
        </w:rPr>
        <w:t xml:space="preserve">(в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порядке</w:t>
      </w:r>
      <w:proofErr w:type="spellEnd"/>
      <w:r w:rsidR="009A6CF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убывания</w:t>
      </w:r>
      <w:proofErr w:type="spellEnd"/>
      <w:r w:rsidR="009A6CF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важности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):</w:t>
      </w:r>
    </w:p>
    <w:p w:rsidR="00DF7DAC" w:rsidRPr="00FC4682" w:rsidRDefault="00DF7DAC" w:rsidP="00DF7DAC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lastRenderedPageBreak/>
        <w:t>площади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объему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весу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активов.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дооборудований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Данноеправилоприменяется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следующимгруппамосновныхсредств</w:t>
      </w:r>
      <w:proofErr w:type="spellEnd"/>
      <w:r w:rsidRPr="00FC4682">
        <w:rPr>
          <w:rFonts w:cstheme="minorHAnsi"/>
          <w:color w:val="000000"/>
          <w:sz w:val="24"/>
          <w:szCs w:val="24"/>
        </w:rPr>
        <w:t>: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машины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оборудование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транспортныесредства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инвентарьпроизводственный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хозяйственный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многолетниенасаждения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машины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оборудование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транспортныесредства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28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линейным методом – на остальные объекты основных средств.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2.9. В случаях, когда установлены одинаковые сроки полезного использования и метод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расчета амортизации всех структурных частей единого объекта основных средств,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Администрация объединяет такие части для определения суммы амортизации.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переоценки.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2.11. Срок полезного использования объектов основных средств устанавливает комиссия по поступлению и выбытию в соответствии с пунктом 35 СГС «Основные </w:t>
      </w: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средства» № 257н. Состав комиссии по поступлению и выбытию активов установлен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приложении 1 настоящей учетной политики.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2.12. Основные средства стоимостью до 10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000 руб. включительно, находящиеся в эксплуатации, учитываются 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счете 21по балансовой стоимости.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39 СГС «Основные средства», пункт 373 Инструкции к Единому плану счетов № 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2.13. Локально-вычислительная сеть (ЛВС) и охранно-пожарная сигнализация (ОПС) как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отдельные инвентарные объекты не учитываются. Отдельные элементы ЛВС и ОПС,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для которых установлен одинаковый срок полезного использования, учитываются как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единый инвентарный объект в порядке, установленном в пункте 2.2 раздела </w:t>
      </w:r>
      <w:r w:rsidRPr="00FC4682">
        <w:rPr>
          <w:rFonts w:cstheme="minorHAnsi"/>
          <w:color w:val="000000"/>
          <w:sz w:val="24"/>
          <w:szCs w:val="24"/>
        </w:rPr>
        <w:t>V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настоящей Учетной политики.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2.14.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договоре поставки.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2.15. Передача в пользование объектов, которые содержатся за счет Администрации, отражается как внутреннее перемещение. Учет таких объектов ведется на дополнительном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счете 43П «Имущество, переданное в пользование, – не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объект аренды».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DF7DAC" w:rsidRPr="00FC4682" w:rsidRDefault="00DF7DAC" w:rsidP="00DF7DAC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нематериальные активы группы «Научные исследования (научно-исследовательские разработки)»;</w:t>
      </w:r>
    </w:p>
    <w:p w:rsidR="00DF7DAC" w:rsidRPr="00FC4682" w:rsidRDefault="00DF7DAC" w:rsidP="00DF7DAC">
      <w:pPr>
        <w:numPr>
          <w:ilvl w:val="0"/>
          <w:numId w:val="9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3.2. Администрация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4. Материальные запасы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4.1. Администрация учитывает в составе материальных запасов материальные объекты, указанные в пунктах 98–99 Инструкции к Единому плану счетов № 157н, а </w:t>
      </w: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также производственный и хозяйственный инвентарь, перечень которого приведен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7.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4.2. Единица учета материальных запасов в учреждении – номенклатурная (реестровая) единица.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Исключение</w:t>
      </w:r>
      <w:proofErr w:type="spellEnd"/>
      <w:r w:rsidRPr="00FC4682">
        <w:rPr>
          <w:rFonts w:cstheme="minorHAnsi"/>
          <w:color w:val="000000"/>
          <w:sz w:val="24"/>
          <w:szCs w:val="24"/>
        </w:rPr>
        <w:t>:</w:t>
      </w:r>
    </w:p>
    <w:p w:rsidR="00DF7DAC" w:rsidRPr="00FC4682" w:rsidRDefault="00DF7DAC" w:rsidP="00DF7DAC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одинаковыми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DF7DAC" w:rsidRPr="00FC4682" w:rsidRDefault="00DF7DAC" w:rsidP="00DF7DAC">
      <w:pPr>
        <w:numPr>
          <w:ilvl w:val="0"/>
          <w:numId w:val="10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Единицаучетатакихматериальныхзапасов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партия</w:t>
      </w:r>
      <w:proofErr w:type="spellEnd"/>
      <w:r w:rsidRPr="00FC4682">
        <w:rPr>
          <w:rFonts w:cstheme="minorHAnsi"/>
          <w:color w:val="000000"/>
          <w:sz w:val="24"/>
          <w:szCs w:val="24"/>
        </w:rPr>
        <w:t>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8 СГС «Запасы».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4.3. Списание материальных запасов производится по средней фактической стоимости.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108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4.4. Нормы на расходы горюче-смазочных материалов (ГСМ) разрабатываются специализированной организацией и утверждаются приказом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главыАдминистрации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Ежегодно приказом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главыутверждаются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период применения зимней надбавки 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нормам расхода ГСМ и ее величина.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 не выше норм, установленных приказом главы Администрации.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4.5. Выдача в эксплуатацию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4.6. Мягкий и хозяйственный инвентарь, посуда списываются по акту о списании мягкого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и хозяйственного инвентаря (ф. 0504143).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 материальных запасов (ф. 0504230).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4.7. Учет 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оценке 1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руб. за 1 шт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.з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апасных частей и других комплектующих, которые могут быть использованы на других автомобилях (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нетипизированные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автомобильные шины – четыре единицы на один легковой автомобиль;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колесные диски – четыре единицы на один легковой автомобиль;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аккумуляторы – одна единица на один автомобиль;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автоинструмента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одна единица на один автомобиль;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аптечки – одна единица на один автомобиль;</w:t>
      </w:r>
    </w:p>
    <w:p w:rsidR="00DF7DAC" w:rsidRPr="00FC4682" w:rsidRDefault="00DF7DAC" w:rsidP="00DF7DAC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огнетушители–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од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на единица на один автомобиль;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Внутреннее перемещение по счету отражается: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при передаче на другой автомобиль;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при передаче другому материально-ответственному лицу вместе с автомобилем.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Выбытие со счета 09 отражается: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при установке новых запчастей взамен не пригодных к эксплуатации.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4.8. Фактическая стоимость материальных запасов, полученных в результате ремонта,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разборки, утилизации (ликвидации), основных средств или иного имущества,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определяется исходя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из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>:</w:t>
      </w:r>
    </w:p>
    <w:p w:rsidR="00DF7DAC" w:rsidRPr="00FC4682" w:rsidRDefault="00DF7DAC" w:rsidP="00DF7DAC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рассчитанной методом рыночных цен;</w:t>
      </w:r>
    </w:p>
    <w:p w:rsidR="00DF7DAC" w:rsidRPr="00FC4682" w:rsidRDefault="00DF7DAC" w:rsidP="00DF7DAC">
      <w:pPr>
        <w:numPr>
          <w:ilvl w:val="0"/>
          <w:numId w:val="1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сумм, уплачиваемых Администрациям за доставку материальных запасов,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приведение их в состояние, пригодное для использования.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4.9. Приобретенные, но находящиеся в пути запасы признаются в бухгалтерском учете в оценке, предусмотренной государственным контрактом (договором). Если Администрация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понесла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Администрацию. Отклонения фактической стоимости материальных запасов от учетной цены отдельно в учете не отражаются.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4.11.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5. Стоимость безвозмездно полученных нефинансовых активов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5.1. Данные о справедливой стоимости безвозмездно полученных нефинансовых активов должны быть подтверждены документально:</w:t>
      </w:r>
    </w:p>
    <w:p w:rsidR="00DF7DAC" w:rsidRPr="00FC4682" w:rsidRDefault="00DF7DAC" w:rsidP="00DF7DAC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DF7DAC" w:rsidRPr="00FC4682" w:rsidRDefault="00DF7DAC" w:rsidP="00DF7DAC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прайс-листамизаводов-изготовителей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DF7DAC" w:rsidRPr="00FC4682" w:rsidRDefault="00DF7DAC" w:rsidP="00DF7DAC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информацией, размещенной в СМИ, и т.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6.  Расчеты с подотчетными лицами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6.1. Денежные средства выдаются под отчет на основании приказа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главыили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служебной записки, согласованной с руководителем. Выдача денежных средств под отчет производится путем:</w:t>
      </w:r>
    </w:p>
    <w:p w:rsidR="00DF7DAC" w:rsidRPr="00FC4682" w:rsidRDefault="00DF7DAC" w:rsidP="00DF7DAC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перечисления 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зарплатную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карту материально ответственного лица.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6.2. Администрация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6.3. Предельная сумма выдачи денежных средств под отчет (за исключением расходов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 командировки) устанавливается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размере 20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000 (Двадцать тысяч)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руб.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На основании распоряжения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главыв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Центрального банка. Основание: пункт 4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указаний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ЦБ от 09.12.2019 № 5348-У.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6.4. Денежные средства выдаются под отчет на хозяйственные нужды на срок, который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сотрудник указал в заявлении на выдачу денежных средств под отчет, но не более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пяти рабочих дней. По истечении этого срока сотрудник должен отчитаться в течение</w:t>
      </w:r>
      <w:r w:rsidRPr="00FC4682">
        <w:rPr>
          <w:rFonts w:cstheme="minorHAnsi"/>
          <w:color w:val="000000"/>
          <w:sz w:val="24"/>
          <w:szCs w:val="24"/>
        </w:rPr>
        <w:t> 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трехрабочих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дней.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6.5. При направлении сотрудников (служащих) Администрации в служебные командировки на территории России расходы на них возмещаются в соответствии с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постановлением Правительства от 02.10.2002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729. Возмещение расходов на служебные командировки, превышающих размер, установленный Правительством, производится при наличии экономии бюджетных средств по фактическим расходам с разрешения главы Администрации,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оформленного приказом.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пункты 2, 3 постановления Правительства от 02.10.2002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729.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Порядок оформления служебных командировок и возмещения командировочных расходов приведен в приложении 8.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7.6. По возвращении из командировки сотрудник (служащий) представляет авансовый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отчет об израсходованных суммах в течение трех рабочих дней. Основание: пункт 26 постановления Правительства от 13.10.2008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749.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7.7. Предельные сроки отчета по выданным доверенностям на получение материальных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ценностей устанавливаются следующие: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Доверенности выдаются штатным сотрудникам (служащим), с которыми заключен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договор о полной материальной ответственности.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7.8. Авансовые отчеты брошюруются в хронологическом порядке в последний день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отчетного месяца.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8. Расчеты с дебиторами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9. Расчеты по обязательствам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9.1. Аналитический учет расчетов по пособиям и иным социальным выплатам ведется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разрезе физических лиц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 получателей социальных выплат.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9.2. Аналитический учет расчетов по оплате труда ведется в разрезе сотрудников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других физических лиц, с которыми заключены гражданско-правовые договоры.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10. Дебиторская и кредиторская задолженность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10.1. Дебиторская задолженность списывается с учета после того, как комиссия по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взысканию в порядке, утвержденном Положением о признании дебиторской задолженности сомнительной и безнадежной к взысканию. Основание: пункт 339 Инструкции к Единому плану счетов № 157н, пункт 11 СГС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«Доходы».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10.2. Кредиторская задолженность, не востребованная кредитором, списывается на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финансовый результат на основании решения инвентаризационной комиссии о признании задолженности невостребованной.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Списание задолженности с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забалансового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учета осуществляется по итогам инвентаризации задолженности на основании решения инвентаризационной комиссии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– по истечении пяти лет отражения задолженности 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учете;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смертью (ликвидацией) контрагента.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пункты 339, 372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11.1. Доходы от предоставления права пользования активом (арендная плата)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признаются доходами текущего финансового года с одновременным уменьшением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предстоящих доходов равномерно (ежемесячно) на протяжении срока пользования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объектом учета аренды.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11.2.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договора. Доходы будущих периодов признаются в текущих доходах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равномерно в последний день каждого месяца. Основание: пункт 301 Инструкции к Единому плану счетов № 157н, подпункт «а» пункта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55 СГС «Доходы».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11.3.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 создаются: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резерв расходов по выплатам персоналу. Порядок расчета резерва приведен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приложении 15;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302.1 Инструкции к Единому плану счетов № 157н, пункты 7, 21 СГС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«Резервы».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11.6. Доходы от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межбюджетных трансфертов по соглашению, заключенному на срок более года, Администрация отражает на счетах:</w:t>
      </w:r>
    </w:p>
    <w:p w:rsidR="00DF7DAC" w:rsidRPr="00FC4682" w:rsidRDefault="00DF7DAC" w:rsidP="00DF7DAC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DF7DAC" w:rsidRPr="00FC4682" w:rsidRDefault="00DF7DAC" w:rsidP="00DF7DAC">
      <w:pPr>
        <w:numPr>
          <w:ilvl w:val="0"/>
          <w:numId w:val="1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Принятие бюджетных (денежных) обязательств к учету осуществляется в пределах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лимитов бюджетных обязательств в порядке, приведенном в приложении 9.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Признание в учете и раскрытие в бюджетной отчетности событий после отчетной даты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осуществляется в порядке, приведенном в приложении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16.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14. Представительские расходы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 w:rsidRPr="00FC4682">
        <w:rPr>
          <w:rFonts w:cstheme="minorHAnsi"/>
          <w:color w:val="000000"/>
          <w:sz w:val="24"/>
          <w:szCs w:val="24"/>
        </w:rPr>
        <w:t xml:space="preserve">А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именнорасходы</w:t>
      </w:r>
      <w:proofErr w:type="spellEnd"/>
      <w:r w:rsidRPr="00FC4682">
        <w:rPr>
          <w:rFonts w:cstheme="minorHAnsi"/>
          <w:color w:val="000000"/>
          <w:sz w:val="24"/>
          <w:szCs w:val="24"/>
        </w:rPr>
        <w:t>:</w:t>
      </w:r>
    </w:p>
    <w:p w:rsidR="00DF7DAC" w:rsidRPr="00FC4682" w:rsidRDefault="00DF7DAC" w:rsidP="00DF7DAC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DF7DAC" w:rsidRPr="00FC4682" w:rsidRDefault="00DF7DAC" w:rsidP="00DF7DAC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DF7DAC" w:rsidRPr="00FC4682" w:rsidRDefault="00DF7DAC" w:rsidP="00DF7DAC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обеспечениеучастниковканцелярскимипринадлежностями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1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DF7DAC" w:rsidRPr="00FC4682" w:rsidRDefault="00DF7DAC" w:rsidP="00DF7DAC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приказ главы Администрации о проведении мероприятия и назначении ответственного за него;</w:t>
      </w:r>
    </w:p>
    <w:p w:rsidR="00DF7DAC" w:rsidRPr="00FC4682" w:rsidRDefault="00DF7DAC" w:rsidP="00DF7DAC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DF7DAC" w:rsidRPr="00FC4682" w:rsidRDefault="00DF7DAC" w:rsidP="00DF7DAC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DF7DAC" w:rsidRPr="00FC4682" w:rsidRDefault="00DF7DAC" w:rsidP="00DF7DAC">
      <w:pPr>
        <w:numPr>
          <w:ilvl w:val="0"/>
          <w:numId w:val="17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VI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1. Инвентаризацию имущества и обязательств (в том числе числящихся на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забалансовых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счетах), а также финансовых результатов (в том числе расходов будущих периодов) проводит постоянно действующая инвентаризационная комиссия. Порядок и график проведения инвентаризации приведен в приложении 10.</w:t>
      </w:r>
      <w:r w:rsidRPr="00FC4682">
        <w:rPr>
          <w:rFonts w:cstheme="minorHAnsi"/>
          <w:color w:val="000000"/>
          <w:sz w:val="24"/>
          <w:szCs w:val="24"/>
          <w:lang w:val="ru-RU"/>
        </w:rPr>
        <w:br/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DF7DAC" w:rsidRPr="00FC4682" w:rsidRDefault="00DF7DAC" w:rsidP="00DF7DAC">
      <w:pPr>
        <w:pStyle w:val="a3"/>
        <w:ind w:left="1005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Основание: статья 11 Закона от 06.12.2011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402-ФЗ, раздел </w:t>
      </w:r>
      <w:r w:rsidRPr="00FC4682">
        <w:rPr>
          <w:rFonts w:cstheme="minorHAnsi"/>
          <w:color w:val="000000"/>
          <w:sz w:val="24"/>
          <w:szCs w:val="24"/>
        </w:rPr>
        <w:t>VIII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СГС «Концептуальные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основы бухучета и отчетности».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2. Состав комиссии для проведения внезапной ревизии кассы приведен в приложении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4.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Руководителями обособленных структурных подразделений создаются инвентаризационные комиссии из числа сотрудников (служащих) подразделения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приказом по подразделению.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VII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 xml:space="preserve">1. Администрация осуществляет внутренний финансовый </w:t>
      </w:r>
      <w:proofErr w:type="gramStart"/>
      <w:r w:rsidRPr="00FC4682">
        <w:rPr>
          <w:rFonts w:cstheme="minorHAnsi"/>
          <w:color w:val="000000"/>
          <w:sz w:val="24"/>
          <w:szCs w:val="24"/>
          <w:lang w:val="ru-RU"/>
        </w:rPr>
        <w:t>контроль</w:t>
      </w:r>
      <w:proofErr w:type="gramEnd"/>
      <w:r w:rsidRPr="00FC4682">
        <w:rPr>
          <w:rFonts w:cstheme="minorHAnsi"/>
          <w:color w:val="000000"/>
          <w:sz w:val="24"/>
          <w:szCs w:val="24"/>
          <w:lang w:val="ru-RU"/>
        </w:rPr>
        <w:t xml:space="preserve"> направленный на:</w:t>
      </w:r>
    </w:p>
    <w:p w:rsidR="00DF7DAC" w:rsidRPr="00FC4682" w:rsidRDefault="00DF7DAC" w:rsidP="00DF7DAC">
      <w:pPr>
        <w:numPr>
          <w:ilvl w:val="0"/>
          <w:numId w:val="1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Администрацией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и подведомственными ему получателями бюджетных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средств – как распорядитель бюджетных средств;</w:t>
      </w:r>
    </w:p>
    <w:p w:rsidR="00DF7DAC" w:rsidRPr="00FC4682" w:rsidRDefault="00DF7DAC" w:rsidP="00DF7DAC">
      <w:pPr>
        <w:numPr>
          <w:ilvl w:val="0"/>
          <w:numId w:val="18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администратор доходов бюджета.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 Внутренний финансовый контроль в Администрации осуществляет комиссия. Помимо комиссии постоянный текущий контроль в ходе своей деятельности осуществляют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рамках своих полномочий:</w:t>
      </w:r>
    </w:p>
    <w:p w:rsidR="00DF7DAC" w:rsidRPr="00FC4682" w:rsidRDefault="00DF7DAC" w:rsidP="00DF7DAC">
      <w:pPr>
        <w:numPr>
          <w:ilvl w:val="0"/>
          <w:numId w:val="1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Глава</w:t>
      </w:r>
      <w:r w:rsidRPr="00FC4682">
        <w:rPr>
          <w:rFonts w:cstheme="minorHAnsi"/>
          <w:color w:val="000000"/>
          <w:sz w:val="24"/>
          <w:szCs w:val="24"/>
        </w:rPr>
        <w:t xml:space="preserve"> А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дминистрации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его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заместители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1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С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отрудники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бухгалтерии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1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Экономист;</w:t>
      </w:r>
    </w:p>
    <w:p w:rsidR="00DF7DAC" w:rsidRPr="00FC4682" w:rsidRDefault="00DF7DAC" w:rsidP="00DF7DAC">
      <w:pPr>
        <w:numPr>
          <w:ilvl w:val="0"/>
          <w:numId w:val="19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иные должностные лица Администрации в соответствии со своими обязанностями.</w:t>
      </w:r>
    </w:p>
    <w:p w:rsidR="00DF7DAC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Положение о внутреннем финансовом контроле, о комиссии и график проведения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внутренних проверок финансово-хозяй</w:t>
      </w:r>
      <w:r>
        <w:rPr>
          <w:rFonts w:cstheme="minorHAnsi"/>
          <w:color w:val="000000"/>
          <w:sz w:val="24"/>
          <w:szCs w:val="24"/>
          <w:lang w:val="ru-RU"/>
        </w:rPr>
        <w:t>ственной деятельности утверждены  постановлением № 184 от 17 мая 2022 г</w:t>
      </w:r>
      <w:r w:rsidRPr="00FC4682">
        <w:rPr>
          <w:rFonts w:cstheme="minorHAnsi"/>
          <w:color w:val="000000"/>
          <w:sz w:val="24"/>
          <w:szCs w:val="24"/>
          <w:lang w:val="ru-RU"/>
        </w:rPr>
        <w:t>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6 Инструкции к Единому плану счетов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157н.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VIII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 Бюджетная отчетность составляется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 основании аналитического и синтетического учета по формам, в объеме и в сроки,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установленные вышестоящей организацией и бюджетным законодательством (приказ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Минфина от 28.12.2010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191н). Бюджетная отчетность представляется главному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распорядителю бюджетных средств в установленные им сроки.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Для обособленных структурных подразделений, наделенных частичными полномочиями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юридического лица, устанавливаются следующие сроки представления бюджетной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отчетности: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квартальные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 – годовой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 до 20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января года, следующего за отчетным годом.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денежными притоками Администрации от всех видов деятельности и их оттоками.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пункт 19 СГС «Отчет о движении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денежных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средств».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Бюджетная отчетность формируется и хранится в виде электронного документа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информационной системе «Бюджет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Смарт</w:t>
      </w:r>
      <w:proofErr w:type="spellEnd"/>
      <w:r w:rsidRPr="00FC4682">
        <w:rPr>
          <w:rFonts w:cstheme="minorHAnsi"/>
          <w:color w:val="000000"/>
          <w:sz w:val="24"/>
          <w:szCs w:val="24"/>
          <w:lang w:val="ru-RU"/>
        </w:rPr>
        <w:t>». Бумажная копия комплекта отчетности хранится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 бухгалтерии.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Основание: часть 7.1 статьи 13 Закона от 06.12.2011 №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402-ФЗ.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b/>
          <w:bCs/>
          <w:color w:val="000000"/>
          <w:sz w:val="24"/>
          <w:szCs w:val="24"/>
        </w:rPr>
        <w:t>IX</w:t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FC4682">
        <w:rPr>
          <w:rFonts w:cstheme="minorHAnsi"/>
          <w:sz w:val="24"/>
          <w:szCs w:val="24"/>
          <w:lang w:val="ru-RU"/>
        </w:rPr>
        <w:br/>
      </w:r>
      <w:r w:rsidRPr="00FC4682">
        <w:rPr>
          <w:rFonts w:cstheme="minorHAnsi"/>
          <w:b/>
          <w:bCs/>
          <w:color w:val="000000"/>
          <w:sz w:val="24"/>
          <w:szCs w:val="24"/>
          <w:lang w:val="ru-RU"/>
        </w:rPr>
        <w:t>при смене главы и заместителя главы</w:t>
      </w:r>
      <w:r w:rsidRPr="00FC4682">
        <w:rPr>
          <w:rFonts w:cstheme="minorHAnsi"/>
          <w:b/>
          <w:bCs/>
          <w:color w:val="000000"/>
          <w:sz w:val="24"/>
          <w:szCs w:val="24"/>
        </w:rPr>
        <w:t> 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1. При смене главы или заместителя главы Администрации (далее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– увольняемые лица) они обязаны в рамках передачи дел заместителю, новому должностному лицу, иному уполномоченному должностному лицу Администрации (далее – уполномоченное лицо) передать документы бухгалтерского учета, а также печати и штампы, хранящиеся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в бухгалтерии.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главы</w:t>
      </w:r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Администрации.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с указанием их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количества и типа.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членами комиссии.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4.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сотрудники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 в соответствии с приказом на передачу бухгалтерских документов.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</w:rPr>
      </w:pPr>
      <w:r w:rsidRPr="00FC4682">
        <w:rPr>
          <w:rFonts w:cstheme="minorHAnsi"/>
          <w:color w:val="000000"/>
          <w:sz w:val="24"/>
          <w:szCs w:val="24"/>
        </w:rPr>
        <w:t xml:space="preserve">5.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Передаются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следующие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документы</w:t>
      </w:r>
      <w:proofErr w:type="spellEnd"/>
      <w:r w:rsidRPr="00FC4682">
        <w:rPr>
          <w:rFonts w:cstheme="minorHAnsi"/>
          <w:color w:val="000000"/>
          <w:sz w:val="24"/>
          <w:szCs w:val="24"/>
        </w:rPr>
        <w:t>: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декларации;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по планированию, в том числе бюджетная смета, план-график закупок, обоснования к планам;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налоговые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регистры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 задолженности Администрации, в том числе по уплате налогов;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 состоянии лицевых счетов Администрации;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 недвижимом имуществе, транспортных средствах Администрации: свидетельства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о праве собственности, выписки из ЕГРП, паспорта транспортных средств и т. п.;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 с приложением инвентаризационных описей, акта проверки кассы Администрации;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актыревизий</w:t>
      </w:r>
      <w:proofErr w:type="spellEnd"/>
      <w:r w:rsidRPr="00FC468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проверок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правоохранительные органы;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C4682">
        <w:rPr>
          <w:rFonts w:cstheme="minorHAnsi"/>
          <w:color w:val="000000"/>
          <w:sz w:val="24"/>
          <w:szCs w:val="24"/>
        </w:rPr>
        <w:t>бланки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строгой</w:t>
      </w:r>
      <w:proofErr w:type="spellEnd"/>
      <w:r w:rsidR="00E859B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FC4682">
        <w:rPr>
          <w:rFonts w:cstheme="minorHAnsi"/>
          <w:color w:val="000000"/>
          <w:sz w:val="24"/>
          <w:szCs w:val="24"/>
        </w:rPr>
        <w:t>отчетности</w:t>
      </w:r>
      <w:proofErr w:type="spellEnd"/>
      <w:r w:rsidRPr="00FC4682">
        <w:rPr>
          <w:rFonts w:cstheme="minorHAnsi"/>
          <w:color w:val="000000"/>
          <w:sz w:val="24"/>
          <w:szCs w:val="24"/>
        </w:rPr>
        <w:t>;</w:t>
      </w:r>
    </w:p>
    <w:p w:rsidR="00DF7DAC" w:rsidRPr="00FC4682" w:rsidRDefault="00DF7DAC" w:rsidP="00DF7DAC">
      <w:pPr>
        <w:numPr>
          <w:ilvl w:val="0"/>
          <w:numId w:val="20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Администрации.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lastRenderedPageBreak/>
        <w:t>6. При подписании акта приема-передачи при наличии возражений по пунктам акта глава и (или) уполномоченное лицо излагают их в письменной форме в присутствии комиссии.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руководителю Администрации, если увольняется заместитель главы, 2-й экземпляр –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>увольняемому лицу, 3-й экземпляр – уполномоченному лицу, которое принимало дела.</w:t>
      </w: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4682">
        <w:rPr>
          <w:rFonts w:cstheme="minorHAnsi"/>
          <w:color w:val="000000"/>
          <w:sz w:val="24"/>
          <w:szCs w:val="24"/>
          <w:lang w:val="ru-RU"/>
        </w:rPr>
        <w:t>Заместитель главы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___________ </w:t>
      </w:r>
      <w:r w:rsidRPr="00FC4682">
        <w:rPr>
          <w:rFonts w:cstheme="minorHAnsi"/>
          <w:color w:val="000000"/>
          <w:sz w:val="24"/>
          <w:szCs w:val="24"/>
        </w:rPr>
        <w:t> </w:t>
      </w:r>
      <w:r w:rsidRPr="00FC4682">
        <w:rPr>
          <w:rFonts w:cstheme="minorHAnsi"/>
          <w:color w:val="000000"/>
          <w:sz w:val="24"/>
          <w:szCs w:val="24"/>
          <w:lang w:val="ru-RU"/>
        </w:rPr>
        <w:t xml:space="preserve">О.Н. </w:t>
      </w:r>
      <w:proofErr w:type="spellStart"/>
      <w:r w:rsidRPr="00FC4682">
        <w:rPr>
          <w:rFonts w:cstheme="minorHAnsi"/>
          <w:color w:val="000000"/>
          <w:sz w:val="24"/>
          <w:szCs w:val="24"/>
          <w:lang w:val="ru-RU"/>
        </w:rPr>
        <w:t>Коньшина</w:t>
      </w:r>
      <w:proofErr w:type="spellEnd"/>
    </w:p>
    <w:p w:rsidR="00DF7DAC" w:rsidRPr="00FC4682" w:rsidRDefault="00DF7DAC" w:rsidP="00DF7DAC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6036" w:rsidRDefault="002B6036"/>
    <w:sectPr w:rsidR="002B6036" w:rsidSect="00FB61A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5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5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42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71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66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33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A2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1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45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90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D1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51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75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60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02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87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F0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D3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91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7"/>
  </w:num>
  <w:num w:numId="9">
    <w:abstractNumId w:val="18"/>
  </w:num>
  <w:num w:numId="10">
    <w:abstractNumId w:val="1"/>
  </w:num>
  <w:num w:numId="11">
    <w:abstractNumId w:val="7"/>
  </w:num>
  <w:num w:numId="12">
    <w:abstractNumId w:val="14"/>
  </w:num>
  <w:num w:numId="13">
    <w:abstractNumId w:val="15"/>
  </w:num>
  <w:num w:numId="14">
    <w:abstractNumId w:val="19"/>
  </w:num>
  <w:num w:numId="15">
    <w:abstractNumId w:val="3"/>
  </w:num>
  <w:num w:numId="16">
    <w:abstractNumId w:val="12"/>
  </w:num>
  <w:num w:numId="17">
    <w:abstractNumId w:val="6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AC"/>
    <w:rsid w:val="002B6036"/>
    <w:rsid w:val="004017DA"/>
    <w:rsid w:val="004B7394"/>
    <w:rsid w:val="009A6CF3"/>
    <w:rsid w:val="00DF7DAC"/>
    <w:rsid w:val="00E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AC"/>
    <w:pPr>
      <w:ind w:left="720"/>
      <w:contextualSpacing/>
    </w:pPr>
  </w:style>
  <w:style w:type="paragraph" w:styleId="a4">
    <w:name w:val="No Spacing"/>
    <w:uiPriority w:val="1"/>
    <w:qFormat/>
    <w:rsid w:val="00DF7DAC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2023-11-28T07:01:00Z</dcterms:created>
  <dcterms:modified xsi:type="dcterms:W3CDTF">2023-11-28T07:40:00Z</dcterms:modified>
</cp:coreProperties>
</file>